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7471EB" w:rsidTr="009E767A">
        <w:trPr>
          <w:trHeight w:val="294"/>
        </w:trPr>
        <w:tc>
          <w:tcPr>
            <w:tcW w:w="414" w:type="pct"/>
            <w:hideMark/>
          </w:tcPr>
          <w:p w:rsidR="00482DC6" w:rsidRPr="007471EB" w:rsidRDefault="00482DC6" w:rsidP="0098610C">
            <w:pPr>
              <w:rPr>
                <w:b/>
              </w:rPr>
            </w:pPr>
            <w:bookmarkStart w:id="0" w:name="_GoBack"/>
            <w:bookmarkEnd w:id="0"/>
            <w:r w:rsidRPr="007471EB">
              <w:rPr>
                <w:b/>
                <w:sz w:val="22"/>
                <w:szCs w:val="22"/>
              </w:rPr>
              <w:t>Sayı</w:t>
            </w:r>
          </w:p>
        </w:tc>
        <w:tc>
          <w:tcPr>
            <w:tcW w:w="83" w:type="pct"/>
            <w:hideMark/>
          </w:tcPr>
          <w:p w:rsidR="00482DC6" w:rsidRPr="007471EB" w:rsidRDefault="00482DC6" w:rsidP="0098610C">
            <w:r w:rsidRPr="007471EB">
              <w:rPr>
                <w:b/>
                <w:sz w:val="22"/>
                <w:szCs w:val="22"/>
              </w:rPr>
              <w:t>:</w:t>
            </w:r>
          </w:p>
        </w:tc>
        <w:tc>
          <w:tcPr>
            <w:tcW w:w="3253" w:type="pct"/>
            <w:hideMark/>
          </w:tcPr>
          <w:p w:rsidR="00482DC6" w:rsidRPr="007471EB" w:rsidRDefault="00482DC6" w:rsidP="00E73E79">
            <w:r w:rsidRPr="007471EB">
              <w:rPr>
                <w:sz w:val="22"/>
                <w:szCs w:val="22"/>
              </w:rPr>
              <w:t>35649853-</w:t>
            </w:r>
            <w:proofErr w:type="gramStart"/>
            <w:r w:rsidRPr="007471EB">
              <w:rPr>
                <w:sz w:val="22"/>
                <w:szCs w:val="22"/>
              </w:rPr>
              <w:t>TİM.K</w:t>
            </w:r>
            <w:r w:rsidR="00E73E79" w:rsidRPr="007471EB">
              <w:rPr>
                <w:sz w:val="22"/>
                <w:szCs w:val="22"/>
              </w:rPr>
              <w:t>İ</w:t>
            </w:r>
            <w:r w:rsidRPr="007471EB">
              <w:rPr>
                <w:sz w:val="22"/>
                <w:szCs w:val="22"/>
              </w:rPr>
              <w:t>B</w:t>
            </w:r>
            <w:proofErr w:type="gramEnd"/>
            <w:r w:rsidRPr="007471EB">
              <w:rPr>
                <w:sz w:val="22"/>
                <w:szCs w:val="22"/>
              </w:rPr>
              <w:t>.GSK.</w:t>
            </w:r>
            <w:bookmarkStart w:id="1" w:name="EvrakNo"/>
            <w:r w:rsidR="00D57206" w:rsidRPr="007471EB">
              <w:rPr>
                <w:sz w:val="22"/>
                <w:szCs w:val="22"/>
              </w:rPr>
              <w:t>AR-GE.</w:t>
            </w:r>
            <w:sdt>
              <w:sdtPr>
                <w:rPr>
                  <w:sz w:val="22"/>
                  <w:szCs w:val="22"/>
                </w:r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7C458C">
                  <w:rPr>
                    <w:sz w:val="22"/>
                    <w:szCs w:val="22"/>
                  </w:rPr>
                  <w:t>2020/1785-03909</w:t>
                </w:r>
              </w:sdtContent>
            </w:sdt>
            <w:bookmarkEnd w:id="1"/>
          </w:p>
        </w:tc>
        <w:tc>
          <w:tcPr>
            <w:tcW w:w="1250" w:type="pct"/>
            <w:hideMark/>
          </w:tcPr>
          <w:p w:rsidR="00482DC6" w:rsidRPr="007471EB" w:rsidRDefault="00482DC6" w:rsidP="009E767A">
            <w:pPr>
              <w:jc w:val="right"/>
            </w:pPr>
            <w:bookmarkStart w:id="2" w:name="Tarih"/>
            <w:r w:rsidRPr="007471EB">
              <w:rPr>
                <w:sz w:val="22"/>
                <w:szCs w:val="22"/>
              </w:rPr>
              <w:t xml:space="preserve">   Giresun, </w:t>
            </w:r>
            <w:sdt>
              <w:sdtPr>
                <w:rPr>
                  <w:sz w:val="22"/>
                  <w:szCs w:val="22"/>
                </w:r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7C458C">
                  <w:rPr>
                    <w:sz w:val="22"/>
                    <w:szCs w:val="22"/>
                  </w:rPr>
                  <w:t>10/11/2020</w:t>
                </w:r>
                <w:proofErr w:type="gramEnd"/>
              </w:sdtContent>
            </w:sdt>
            <w:bookmarkEnd w:id="2"/>
          </w:p>
        </w:tc>
      </w:tr>
      <w:tr w:rsidR="00482DC6" w:rsidRPr="007471EB" w:rsidTr="009E767A">
        <w:trPr>
          <w:trHeight w:val="311"/>
        </w:trPr>
        <w:tc>
          <w:tcPr>
            <w:tcW w:w="414" w:type="pct"/>
            <w:hideMark/>
          </w:tcPr>
          <w:p w:rsidR="00482DC6" w:rsidRPr="007471EB" w:rsidRDefault="00482DC6" w:rsidP="0098610C">
            <w:pPr>
              <w:rPr>
                <w:b/>
              </w:rPr>
            </w:pPr>
          </w:p>
        </w:tc>
        <w:tc>
          <w:tcPr>
            <w:tcW w:w="83" w:type="pct"/>
          </w:tcPr>
          <w:p w:rsidR="00482DC6" w:rsidRPr="007471EB" w:rsidRDefault="00482DC6" w:rsidP="0098610C"/>
        </w:tc>
        <w:tc>
          <w:tcPr>
            <w:tcW w:w="4503" w:type="pct"/>
            <w:gridSpan w:val="2"/>
          </w:tcPr>
          <w:p w:rsidR="00482DC6" w:rsidRPr="007471EB" w:rsidRDefault="00482DC6" w:rsidP="0098610C"/>
        </w:tc>
      </w:tr>
      <w:tr w:rsidR="00482DC6" w:rsidRPr="007471EB" w:rsidTr="009E767A">
        <w:trPr>
          <w:trHeight w:val="294"/>
        </w:trPr>
        <w:tc>
          <w:tcPr>
            <w:tcW w:w="414" w:type="pct"/>
            <w:hideMark/>
          </w:tcPr>
          <w:p w:rsidR="00482DC6" w:rsidRPr="007471EB" w:rsidRDefault="00482DC6" w:rsidP="0098610C">
            <w:pPr>
              <w:rPr>
                <w:b/>
              </w:rPr>
            </w:pPr>
            <w:r w:rsidRPr="007471EB">
              <w:rPr>
                <w:b/>
                <w:sz w:val="22"/>
                <w:szCs w:val="22"/>
              </w:rPr>
              <w:t>Konu</w:t>
            </w:r>
          </w:p>
        </w:tc>
        <w:tc>
          <w:tcPr>
            <w:tcW w:w="83" w:type="pct"/>
            <w:hideMark/>
          </w:tcPr>
          <w:p w:rsidR="00482DC6" w:rsidRPr="007471EB" w:rsidRDefault="00482DC6" w:rsidP="0098610C">
            <w:r w:rsidRPr="007471EB">
              <w:rPr>
                <w:b/>
                <w:sz w:val="22"/>
                <w:szCs w:val="22"/>
              </w:rPr>
              <w:t>:</w:t>
            </w:r>
          </w:p>
        </w:tc>
        <w:sdt>
          <w:sdtPr>
            <w:rPr>
              <w:sz w:val="22"/>
              <w:szCs w:val="22"/>
            </w:r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7471EB" w:rsidRDefault="0067476C" w:rsidP="006B0F37">
                <w:r w:rsidRPr="007471EB">
                  <w:rPr>
                    <w:sz w:val="22"/>
                    <w:szCs w:val="22"/>
                  </w:rPr>
                  <w:t>Ukrayna</w:t>
                </w:r>
                <w:r w:rsidR="006B0F37">
                  <w:rPr>
                    <w:sz w:val="22"/>
                    <w:szCs w:val="22"/>
                  </w:rPr>
                  <w:t>’</w:t>
                </w:r>
                <w:r w:rsidRPr="007471EB">
                  <w:rPr>
                    <w:sz w:val="22"/>
                    <w:szCs w:val="22"/>
                  </w:rPr>
                  <w:t>ya Mal Girişinde Ön Bildirim Zorunluluğu</w:t>
                </w:r>
              </w:p>
            </w:tc>
          </w:sdtContent>
        </w:sdt>
      </w:tr>
    </w:tbl>
    <w:p w:rsidR="00CA0A79" w:rsidRPr="007471EB" w:rsidRDefault="00CA0A79">
      <w:pPr>
        <w:rPr>
          <w:sz w:val="22"/>
          <w:szCs w:val="22"/>
        </w:rPr>
      </w:pPr>
    </w:p>
    <w:p w:rsidR="007471EB" w:rsidRPr="007471EB" w:rsidRDefault="007471EB" w:rsidP="007471EB">
      <w:pPr>
        <w:tabs>
          <w:tab w:val="left" w:pos="851"/>
        </w:tabs>
        <w:autoSpaceDE w:val="0"/>
        <w:autoSpaceDN w:val="0"/>
        <w:adjustRightInd w:val="0"/>
        <w:jc w:val="right"/>
        <w:rPr>
          <w:b/>
          <w:sz w:val="22"/>
          <w:szCs w:val="22"/>
          <w:u w:val="single"/>
        </w:rPr>
      </w:pPr>
      <w:r w:rsidRPr="007471EB">
        <w:rPr>
          <w:b/>
          <w:sz w:val="22"/>
          <w:szCs w:val="22"/>
          <w:u w:val="single"/>
        </w:rPr>
        <w:t>E-POSTA</w:t>
      </w:r>
    </w:p>
    <w:p w:rsidR="007471EB" w:rsidRPr="007471EB" w:rsidRDefault="007471EB" w:rsidP="007471EB">
      <w:pPr>
        <w:tabs>
          <w:tab w:val="left" w:pos="851"/>
        </w:tabs>
        <w:jc w:val="center"/>
        <w:rPr>
          <w:b/>
          <w:sz w:val="22"/>
          <w:szCs w:val="22"/>
        </w:rPr>
      </w:pPr>
    </w:p>
    <w:p w:rsidR="007471EB" w:rsidRPr="007471EB" w:rsidRDefault="007471EB" w:rsidP="007471EB">
      <w:pPr>
        <w:tabs>
          <w:tab w:val="left" w:pos="851"/>
        </w:tabs>
        <w:jc w:val="center"/>
        <w:rPr>
          <w:b/>
          <w:sz w:val="22"/>
          <w:szCs w:val="22"/>
        </w:rPr>
      </w:pPr>
      <w:r w:rsidRPr="007471EB">
        <w:rPr>
          <w:b/>
          <w:sz w:val="22"/>
          <w:szCs w:val="22"/>
        </w:rPr>
        <w:t>KARADENİZ İHRACATÇI BİRLİKLERİ ÜYELERİNE SİRKÜLER</w:t>
      </w:r>
    </w:p>
    <w:p w:rsidR="007471EB" w:rsidRPr="007471EB" w:rsidRDefault="007471EB" w:rsidP="007471EB">
      <w:pPr>
        <w:jc w:val="center"/>
        <w:rPr>
          <w:b/>
          <w:bCs/>
          <w:sz w:val="22"/>
          <w:szCs w:val="22"/>
          <w:u w:val="single"/>
        </w:rPr>
      </w:pPr>
      <w:r w:rsidRPr="007471EB">
        <w:rPr>
          <w:b/>
          <w:bCs/>
          <w:sz w:val="22"/>
          <w:szCs w:val="22"/>
          <w:u w:val="single"/>
        </w:rPr>
        <w:t>2020 / 559</w:t>
      </w:r>
    </w:p>
    <w:p w:rsidR="007471EB" w:rsidRPr="007471EB" w:rsidRDefault="007471EB" w:rsidP="007471EB">
      <w:pPr>
        <w:tabs>
          <w:tab w:val="left" w:pos="851"/>
        </w:tabs>
        <w:jc w:val="both"/>
        <w:rPr>
          <w:b/>
          <w:sz w:val="22"/>
          <w:szCs w:val="22"/>
        </w:rPr>
      </w:pPr>
    </w:p>
    <w:p w:rsidR="007471EB" w:rsidRPr="007471EB" w:rsidRDefault="007471EB" w:rsidP="006B0F37">
      <w:pPr>
        <w:tabs>
          <w:tab w:val="left" w:pos="851"/>
        </w:tabs>
        <w:ind w:firstLine="851"/>
        <w:jc w:val="both"/>
        <w:rPr>
          <w:sz w:val="22"/>
          <w:szCs w:val="22"/>
        </w:rPr>
      </w:pPr>
      <w:r w:rsidRPr="007471EB">
        <w:rPr>
          <w:sz w:val="22"/>
          <w:szCs w:val="22"/>
        </w:rPr>
        <w:t>Sayın üyemiz,</w:t>
      </w:r>
    </w:p>
    <w:p w:rsidR="007471EB" w:rsidRPr="007471EB" w:rsidRDefault="007471EB" w:rsidP="006B0F37">
      <w:pPr>
        <w:tabs>
          <w:tab w:val="left" w:pos="851"/>
        </w:tabs>
        <w:ind w:firstLine="851"/>
        <w:jc w:val="both"/>
        <w:rPr>
          <w:sz w:val="22"/>
          <w:szCs w:val="22"/>
        </w:rPr>
      </w:pPr>
    </w:p>
    <w:p w:rsidR="007471EB" w:rsidRPr="007471EB" w:rsidRDefault="006B0F37" w:rsidP="006B0F37">
      <w:pPr>
        <w:pStyle w:val="Default"/>
        <w:ind w:firstLine="851"/>
        <w:jc w:val="both"/>
        <w:rPr>
          <w:sz w:val="22"/>
          <w:szCs w:val="22"/>
        </w:rPr>
      </w:pPr>
      <w:r>
        <w:rPr>
          <w:sz w:val="22"/>
          <w:szCs w:val="22"/>
        </w:rPr>
        <w:t xml:space="preserve">T.C. </w:t>
      </w:r>
      <w:r w:rsidR="007471EB" w:rsidRPr="007471EB">
        <w:rPr>
          <w:sz w:val="22"/>
          <w:szCs w:val="22"/>
        </w:rPr>
        <w:t>Ticaret Ba</w:t>
      </w:r>
      <w:r>
        <w:rPr>
          <w:sz w:val="22"/>
          <w:szCs w:val="22"/>
        </w:rPr>
        <w:t>kanlığı İhracat Genel Müdürlüğü</w:t>
      </w:r>
      <w:r w:rsidR="007471EB" w:rsidRPr="007471EB">
        <w:rPr>
          <w:sz w:val="22"/>
          <w:szCs w:val="22"/>
        </w:rPr>
        <w:t xml:space="preserve">nün bir yazısına atfen, Türkiye </w:t>
      </w:r>
      <w:r>
        <w:rPr>
          <w:sz w:val="22"/>
          <w:szCs w:val="22"/>
        </w:rPr>
        <w:t xml:space="preserve">İhracatçılar Meclisinden </w:t>
      </w:r>
      <w:r w:rsidR="007471EB" w:rsidRPr="007471EB">
        <w:rPr>
          <w:sz w:val="22"/>
          <w:szCs w:val="22"/>
        </w:rPr>
        <w:t xml:space="preserve">alınan </w:t>
      </w:r>
      <w:proofErr w:type="gramStart"/>
      <w:r w:rsidR="007471EB" w:rsidRPr="007471EB">
        <w:rPr>
          <w:sz w:val="22"/>
          <w:szCs w:val="22"/>
        </w:rPr>
        <w:t>10/11/2020</w:t>
      </w:r>
      <w:proofErr w:type="gramEnd"/>
      <w:r w:rsidR="007471EB" w:rsidRPr="007471EB">
        <w:rPr>
          <w:sz w:val="22"/>
          <w:szCs w:val="22"/>
        </w:rPr>
        <w:t xml:space="preserve"> tarih 18-12457 sayılı yazıda;</w:t>
      </w:r>
    </w:p>
    <w:p w:rsidR="007471EB" w:rsidRPr="007471EB" w:rsidRDefault="007471EB" w:rsidP="006B0F37">
      <w:pPr>
        <w:pStyle w:val="Default"/>
        <w:ind w:firstLine="851"/>
        <w:jc w:val="both"/>
        <w:rPr>
          <w:sz w:val="22"/>
          <w:szCs w:val="22"/>
        </w:rPr>
      </w:pPr>
    </w:p>
    <w:p w:rsidR="006B0F37" w:rsidRPr="007471EB" w:rsidRDefault="002F1604" w:rsidP="006B0F37">
      <w:pPr>
        <w:autoSpaceDE w:val="0"/>
        <w:autoSpaceDN w:val="0"/>
        <w:adjustRightInd w:val="0"/>
        <w:ind w:firstLine="851"/>
        <w:jc w:val="both"/>
        <w:rPr>
          <w:rFonts w:eastAsiaTheme="minorHAnsi"/>
          <w:sz w:val="22"/>
          <w:szCs w:val="22"/>
          <w:lang w:eastAsia="en-US"/>
        </w:rPr>
      </w:pPr>
      <w:r>
        <w:rPr>
          <w:rFonts w:eastAsiaTheme="minorHAnsi"/>
          <w:sz w:val="22"/>
          <w:szCs w:val="22"/>
          <w:lang w:eastAsia="en-US"/>
        </w:rPr>
        <w:t>A</w:t>
      </w:r>
      <w:r w:rsidR="007471EB" w:rsidRPr="007471EB">
        <w:rPr>
          <w:rFonts w:eastAsiaTheme="minorHAnsi"/>
          <w:sz w:val="22"/>
          <w:szCs w:val="22"/>
          <w:lang w:eastAsia="en-US"/>
        </w:rPr>
        <w:t xml:space="preserve">slı ve tercümesi </w:t>
      </w:r>
      <w:r>
        <w:rPr>
          <w:rFonts w:eastAsiaTheme="minorHAnsi"/>
          <w:sz w:val="22"/>
          <w:szCs w:val="22"/>
          <w:lang w:eastAsia="en-US"/>
        </w:rPr>
        <w:t>ilişik bulunan</w:t>
      </w:r>
      <w:r w:rsidRPr="007471EB">
        <w:rPr>
          <w:rFonts w:eastAsiaTheme="minorHAnsi"/>
          <w:sz w:val="22"/>
          <w:szCs w:val="22"/>
          <w:lang w:eastAsia="en-US"/>
        </w:rPr>
        <w:t>13.</w:t>
      </w:r>
      <w:proofErr w:type="gramStart"/>
      <w:r w:rsidRPr="007471EB">
        <w:rPr>
          <w:rFonts w:eastAsiaTheme="minorHAnsi"/>
          <w:sz w:val="22"/>
          <w:szCs w:val="22"/>
          <w:lang w:eastAsia="en-US"/>
        </w:rPr>
        <w:t>08.2020</w:t>
      </w:r>
      <w:proofErr w:type="gramEnd"/>
      <w:r w:rsidRPr="007471EB">
        <w:rPr>
          <w:rFonts w:eastAsiaTheme="minorHAnsi"/>
          <w:sz w:val="22"/>
          <w:szCs w:val="22"/>
          <w:lang w:eastAsia="en-US"/>
        </w:rPr>
        <w:t xml:space="preserve"> tarihli ve 502 sayılı </w:t>
      </w:r>
      <w:r w:rsidR="007471EB" w:rsidRPr="007471EB">
        <w:rPr>
          <w:rFonts w:eastAsiaTheme="minorHAnsi"/>
          <w:sz w:val="22"/>
          <w:szCs w:val="22"/>
          <w:lang w:eastAsia="en-US"/>
        </w:rPr>
        <w:t xml:space="preserve">Ukrayna Maliye Bakanlığı Kararı'na istinaden (Adalet Bakanlığına kayıt tarihi 19/10/2020; Resmi Gazetede yayımlanma tarihi 28/10/2020) </w:t>
      </w:r>
      <w:r w:rsidR="007471EB" w:rsidRPr="002F1604">
        <w:rPr>
          <w:rFonts w:eastAsiaTheme="minorHAnsi"/>
          <w:b/>
          <w:sz w:val="22"/>
          <w:szCs w:val="22"/>
          <w:lang w:eastAsia="en-US"/>
        </w:rPr>
        <w:t xml:space="preserve">7 Kasım 2020 tarihinden itibaren Ukrayna’da“Genel Varış Beyannamesi” </w:t>
      </w:r>
      <w:r w:rsidR="007471EB" w:rsidRPr="007471EB">
        <w:rPr>
          <w:rFonts w:eastAsiaTheme="minorHAnsi"/>
          <w:sz w:val="22"/>
          <w:szCs w:val="22"/>
          <w:lang w:eastAsia="en-US"/>
        </w:rPr>
        <w:t>uygulanmaya</w:t>
      </w:r>
      <w:r>
        <w:rPr>
          <w:rFonts w:eastAsiaTheme="minorHAnsi"/>
          <w:sz w:val="22"/>
          <w:szCs w:val="22"/>
          <w:lang w:eastAsia="en-US"/>
        </w:rPr>
        <w:t xml:space="preserve"> başlanacağı bildirilmekte olup, söz konusu</w:t>
      </w:r>
      <w:r w:rsidR="007471EB" w:rsidRPr="007471EB">
        <w:rPr>
          <w:rFonts w:eastAsiaTheme="minorHAnsi"/>
          <w:sz w:val="22"/>
          <w:szCs w:val="22"/>
          <w:lang w:eastAsia="en-US"/>
        </w:rPr>
        <w:t xml:space="preserve"> Karar’da</w:t>
      </w:r>
      <w:r w:rsidR="006B0F37">
        <w:rPr>
          <w:rFonts w:eastAsiaTheme="minorHAnsi"/>
          <w:sz w:val="22"/>
          <w:szCs w:val="22"/>
          <w:lang w:eastAsia="en-US"/>
        </w:rPr>
        <w:t>;</w:t>
      </w:r>
    </w:p>
    <w:p w:rsidR="007471EB" w:rsidRPr="007471EB" w:rsidRDefault="007471EB" w:rsidP="007471EB">
      <w:pPr>
        <w:autoSpaceDE w:val="0"/>
        <w:autoSpaceDN w:val="0"/>
        <w:adjustRightInd w:val="0"/>
        <w:ind w:firstLine="708"/>
        <w:rPr>
          <w:rFonts w:eastAsiaTheme="minorHAnsi"/>
          <w:sz w:val="22"/>
          <w:szCs w:val="22"/>
          <w:lang w:eastAsia="en-US"/>
        </w:rPr>
      </w:pPr>
    </w:p>
    <w:p w:rsidR="007471EB" w:rsidRPr="007471EB" w:rsidRDefault="007471EB" w:rsidP="007471EB">
      <w:pPr>
        <w:autoSpaceDE w:val="0"/>
        <w:autoSpaceDN w:val="0"/>
        <w:adjustRightInd w:val="0"/>
        <w:ind w:firstLine="708"/>
        <w:jc w:val="both"/>
        <w:rPr>
          <w:rFonts w:eastAsiaTheme="minorHAnsi"/>
          <w:sz w:val="22"/>
          <w:szCs w:val="22"/>
          <w:lang w:eastAsia="en-US"/>
        </w:rPr>
      </w:pPr>
      <w:r w:rsidRPr="007471EB">
        <w:rPr>
          <w:rFonts w:eastAsiaTheme="minorHAnsi"/>
          <w:sz w:val="22"/>
          <w:szCs w:val="22"/>
          <w:lang w:eastAsia="en-US"/>
        </w:rPr>
        <w:t>- "Genel Varış Beyannamesi (GVB)’</w:t>
      </w:r>
      <w:proofErr w:type="spellStart"/>
      <w:r w:rsidRPr="007471EB">
        <w:rPr>
          <w:rFonts w:eastAsiaTheme="minorHAnsi"/>
          <w:sz w:val="22"/>
          <w:szCs w:val="22"/>
          <w:lang w:eastAsia="en-US"/>
        </w:rPr>
        <w:t>nin</w:t>
      </w:r>
      <w:proofErr w:type="spellEnd"/>
      <w:r w:rsidRPr="007471EB">
        <w:rPr>
          <w:rFonts w:eastAsiaTheme="minorHAnsi"/>
          <w:sz w:val="22"/>
          <w:szCs w:val="22"/>
          <w:lang w:eastAsia="en-US"/>
        </w:rPr>
        <w:t xml:space="preserve">, </w:t>
      </w:r>
      <w:r w:rsidRPr="007471EB">
        <w:rPr>
          <w:rFonts w:eastAsiaTheme="minorHAnsi"/>
          <w:b/>
          <w:bCs/>
          <w:sz w:val="22"/>
          <w:szCs w:val="22"/>
          <w:lang w:eastAsia="en-US"/>
        </w:rPr>
        <w:t xml:space="preserve">transit geçişler de </w:t>
      </w:r>
      <w:proofErr w:type="gramStart"/>
      <w:r w:rsidRPr="007471EB">
        <w:rPr>
          <w:rFonts w:eastAsiaTheme="minorHAnsi"/>
          <w:b/>
          <w:bCs/>
          <w:sz w:val="22"/>
          <w:szCs w:val="22"/>
          <w:lang w:eastAsia="en-US"/>
        </w:rPr>
        <w:t>dahil</w:t>
      </w:r>
      <w:proofErr w:type="gramEnd"/>
      <w:r w:rsidRPr="007471EB">
        <w:rPr>
          <w:rFonts w:eastAsiaTheme="minorHAnsi"/>
          <w:b/>
          <w:bCs/>
          <w:sz w:val="22"/>
          <w:szCs w:val="22"/>
          <w:lang w:eastAsia="en-US"/>
        </w:rPr>
        <w:t xml:space="preserve"> olmak üzere </w:t>
      </w:r>
      <w:r w:rsidRPr="007471EB">
        <w:rPr>
          <w:rFonts w:eastAsiaTheme="minorHAnsi"/>
          <w:sz w:val="22"/>
          <w:szCs w:val="22"/>
          <w:lang w:eastAsia="en-US"/>
        </w:rPr>
        <w:t>malların Ukrayna'ya ithalatı için zorunlu olacağı,</w:t>
      </w:r>
    </w:p>
    <w:p w:rsidR="007471EB" w:rsidRPr="007471EB" w:rsidRDefault="007471EB" w:rsidP="007471EB">
      <w:pPr>
        <w:autoSpaceDE w:val="0"/>
        <w:autoSpaceDN w:val="0"/>
        <w:adjustRightInd w:val="0"/>
        <w:jc w:val="both"/>
        <w:rPr>
          <w:rFonts w:eastAsiaTheme="minorHAnsi"/>
          <w:sz w:val="22"/>
          <w:szCs w:val="22"/>
          <w:lang w:eastAsia="en-US"/>
        </w:rPr>
      </w:pPr>
    </w:p>
    <w:p w:rsidR="007471EB" w:rsidRPr="007471EB" w:rsidRDefault="007471EB" w:rsidP="007471EB">
      <w:pPr>
        <w:autoSpaceDE w:val="0"/>
        <w:autoSpaceDN w:val="0"/>
        <w:adjustRightInd w:val="0"/>
        <w:ind w:firstLine="708"/>
        <w:rPr>
          <w:rFonts w:eastAsiaTheme="minorHAnsi"/>
          <w:sz w:val="22"/>
          <w:szCs w:val="22"/>
          <w:lang w:eastAsia="en-US"/>
        </w:rPr>
      </w:pPr>
      <w:r w:rsidRPr="007471EB">
        <w:rPr>
          <w:rFonts w:eastAsiaTheme="minorHAnsi"/>
          <w:sz w:val="22"/>
          <w:szCs w:val="22"/>
          <w:lang w:eastAsia="en-US"/>
        </w:rPr>
        <w:t xml:space="preserve">- </w:t>
      </w:r>
      <w:proofErr w:type="spellStart"/>
      <w:r w:rsidRPr="007471EB">
        <w:rPr>
          <w:rFonts w:eastAsiaTheme="minorHAnsi"/>
          <w:sz w:val="22"/>
          <w:szCs w:val="22"/>
          <w:lang w:eastAsia="en-US"/>
        </w:rPr>
        <w:t>GVB'nin</w:t>
      </w:r>
      <w:proofErr w:type="spellEnd"/>
      <w:r w:rsidRPr="007471EB">
        <w:rPr>
          <w:rFonts w:eastAsiaTheme="minorHAnsi"/>
          <w:sz w:val="22"/>
          <w:szCs w:val="22"/>
          <w:lang w:eastAsia="en-US"/>
        </w:rPr>
        <w:t xml:space="preserve"> uygulanmasının uluslararası anlaşmalarla öngörülmüş olduğu ve Ukrayna Devlet Gümrük Servisi uzmanları tarafından ön risk analizi için kullanılacağı,</w:t>
      </w:r>
    </w:p>
    <w:p w:rsidR="007471EB" w:rsidRPr="007471EB" w:rsidRDefault="007471EB" w:rsidP="007471EB">
      <w:pPr>
        <w:autoSpaceDE w:val="0"/>
        <w:autoSpaceDN w:val="0"/>
        <w:adjustRightInd w:val="0"/>
        <w:rPr>
          <w:rFonts w:eastAsiaTheme="minorHAnsi"/>
          <w:sz w:val="22"/>
          <w:szCs w:val="22"/>
          <w:lang w:eastAsia="en-US"/>
        </w:rPr>
      </w:pPr>
    </w:p>
    <w:p w:rsidR="007471EB" w:rsidRPr="007471EB" w:rsidRDefault="007471EB" w:rsidP="007471EB">
      <w:pPr>
        <w:autoSpaceDE w:val="0"/>
        <w:autoSpaceDN w:val="0"/>
        <w:adjustRightInd w:val="0"/>
        <w:ind w:firstLine="708"/>
        <w:jc w:val="both"/>
        <w:rPr>
          <w:rFonts w:eastAsiaTheme="minorHAnsi"/>
          <w:sz w:val="22"/>
          <w:szCs w:val="22"/>
          <w:lang w:eastAsia="en-US"/>
        </w:rPr>
      </w:pPr>
      <w:r w:rsidRPr="007471EB">
        <w:rPr>
          <w:rFonts w:eastAsiaTheme="minorHAnsi"/>
          <w:sz w:val="22"/>
          <w:szCs w:val="22"/>
          <w:lang w:eastAsia="en-US"/>
        </w:rPr>
        <w:t xml:space="preserve">- 7 Kasım 2020 tarihinden itibaren </w:t>
      </w:r>
      <w:proofErr w:type="spellStart"/>
      <w:r w:rsidRPr="007471EB">
        <w:rPr>
          <w:rFonts w:eastAsiaTheme="minorHAnsi"/>
          <w:sz w:val="22"/>
          <w:szCs w:val="22"/>
          <w:lang w:eastAsia="en-US"/>
        </w:rPr>
        <w:t>GVB’nin</w:t>
      </w:r>
      <w:proofErr w:type="spellEnd"/>
      <w:r w:rsidRPr="007471EB">
        <w:rPr>
          <w:rFonts w:eastAsiaTheme="minorHAnsi"/>
          <w:sz w:val="22"/>
          <w:szCs w:val="22"/>
          <w:lang w:eastAsia="en-US"/>
        </w:rPr>
        <w:t xml:space="preserve"> Ukrayna'nın kontrol noktalarından taşınan malların geçişi için zorunlu olduğu ve Ukrayna Devlet Gümrük Servisine sunulacağı,</w:t>
      </w:r>
    </w:p>
    <w:p w:rsidR="007471EB" w:rsidRPr="007471EB" w:rsidRDefault="007471EB" w:rsidP="007471EB">
      <w:pPr>
        <w:autoSpaceDE w:val="0"/>
        <w:autoSpaceDN w:val="0"/>
        <w:adjustRightInd w:val="0"/>
        <w:jc w:val="both"/>
        <w:rPr>
          <w:rFonts w:eastAsiaTheme="minorHAnsi"/>
          <w:sz w:val="22"/>
          <w:szCs w:val="22"/>
          <w:lang w:eastAsia="en-US"/>
        </w:rPr>
      </w:pPr>
    </w:p>
    <w:p w:rsidR="007471EB" w:rsidRPr="007471EB" w:rsidRDefault="007471EB" w:rsidP="007471EB">
      <w:pPr>
        <w:autoSpaceDE w:val="0"/>
        <w:autoSpaceDN w:val="0"/>
        <w:adjustRightInd w:val="0"/>
        <w:ind w:firstLine="708"/>
        <w:jc w:val="both"/>
        <w:rPr>
          <w:rFonts w:eastAsiaTheme="minorHAnsi"/>
          <w:sz w:val="22"/>
          <w:szCs w:val="22"/>
          <w:lang w:eastAsia="en-US"/>
        </w:rPr>
      </w:pPr>
      <w:proofErr w:type="gramStart"/>
      <w:r w:rsidRPr="007471EB">
        <w:rPr>
          <w:rFonts w:eastAsiaTheme="minorHAnsi"/>
          <w:sz w:val="22"/>
          <w:szCs w:val="22"/>
          <w:lang w:eastAsia="en-US"/>
        </w:rPr>
        <w:t xml:space="preserve">- </w:t>
      </w:r>
      <w:proofErr w:type="spellStart"/>
      <w:r w:rsidRPr="007471EB">
        <w:rPr>
          <w:rFonts w:eastAsiaTheme="minorHAnsi"/>
          <w:sz w:val="22"/>
          <w:szCs w:val="22"/>
          <w:lang w:eastAsia="en-US"/>
        </w:rPr>
        <w:t>GVB'nin</w:t>
      </w:r>
      <w:proofErr w:type="spellEnd"/>
      <w:r w:rsidRPr="007471EB">
        <w:rPr>
          <w:rFonts w:eastAsiaTheme="minorHAnsi"/>
          <w:sz w:val="22"/>
          <w:szCs w:val="22"/>
          <w:lang w:eastAsia="en-US"/>
        </w:rPr>
        <w:t xml:space="preserve"> Ukrayna’da uygulanmaya başlanmasının, Ukrayna'da uluslararası gümrük kontrol normlarının ve standartlarının uygulanmasına yönelik bir adım olduğu, söz konusu sistemin kullanılmasının, Gümrük Prosedürlerinin Basitleştirilmesi ve Uyumlaştırılmasına İlişkin Uluslararası Sözleşme (Kyoto Sözleşmesi), Dünya Gümrük Örgütü Dünya Ticaretinin Güvenliği ve Kolaylaştırılmasına İlişkin Standartları ve Ukrayna ile Avrupa Birliği arasındaki Ortaklık Anlaşmasıyla öngörülmekte olduğu,</w:t>
      </w:r>
      <w:proofErr w:type="gramEnd"/>
    </w:p>
    <w:p w:rsidR="007471EB" w:rsidRPr="007471EB" w:rsidRDefault="007471EB" w:rsidP="007471EB">
      <w:pPr>
        <w:autoSpaceDE w:val="0"/>
        <w:autoSpaceDN w:val="0"/>
        <w:adjustRightInd w:val="0"/>
        <w:rPr>
          <w:rFonts w:eastAsiaTheme="minorHAnsi"/>
          <w:sz w:val="22"/>
          <w:szCs w:val="22"/>
          <w:lang w:eastAsia="en-US"/>
        </w:rPr>
      </w:pPr>
    </w:p>
    <w:p w:rsidR="007471EB" w:rsidRPr="007471EB" w:rsidRDefault="007471EB" w:rsidP="007471EB">
      <w:pPr>
        <w:autoSpaceDE w:val="0"/>
        <w:autoSpaceDN w:val="0"/>
        <w:adjustRightInd w:val="0"/>
        <w:ind w:firstLine="708"/>
        <w:jc w:val="both"/>
        <w:rPr>
          <w:rFonts w:eastAsiaTheme="minorHAnsi"/>
          <w:sz w:val="22"/>
          <w:szCs w:val="22"/>
          <w:lang w:eastAsia="en-US"/>
        </w:rPr>
      </w:pPr>
      <w:r w:rsidRPr="007471EB">
        <w:rPr>
          <w:rFonts w:eastAsiaTheme="minorHAnsi"/>
          <w:sz w:val="22"/>
          <w:szCs w:val="22"/>
          <w:lang w:eastAsia="en-US"/>
        </w:rPr>
        <w:t xml:space="preserve">- </w:t>
      </w:r>
      <w:proofErr w:type="spellStart"/>
      <w:r w:rsidRPr="007471EB">
        <w:rPr>
          <w:rFonts w:eastAsiaTheme="minorHAnsi"/>
          <w:sz w:val="22"/>
          <w:szCs w:val="22"/>
          <w:lang w:eastAsia="en-US"/>
        </w:rPr>
        <w:t>GVB’nin</w:t>
      </w:r>
      <w:proofErr w:type="spellEnd"/>
      <w:r w:rsidRPr="007471EB">
        <w:rPr>
          <w:rFonts w:eastAsiaTheme="minorHAnsi"/>
          <w:sz w:val="22"/>
          <w:szCs w:val="22"/>
          <w:lang w:eastAsia="en-US"/>
        </w:rPr>
        <w:t xml:space="preserve">, taşımacı tarafından (veya onun adına hareket eden başka bir kişi tarafından) oluşturulan, bir elektronik dosya biçiminde gümrük idaresine gönderilen bir elektronik mesaj olduğu ve Ukrayna Devlet Gümrük Servisi’nin web sitesinde oluşturulan kullanıcı hesabı üzerinde </w:t>
      </w:r>
      <w:proofErr w:type="spellStart"/>
      <w:r w:rsidRPr="007471EB">
        <w:rPr>
          <w:rFonts w:eastAsiaTheme="minorHAnsi"/>
          <w:sz w:val="22"/>
          <w:szCs w:val="22"/>
          <w:lang w:eastAsia="en-US"/>
        </w:rPr>
        <w:t>GVB'yi</w:t>
      </w:r>
      <w:proofErr w:type="spellEnd"/>
      <w:r w:rsidRPr="007471EB">
        <w:rPr>
          <w:rFonts w:eastAsiaTheme="minorHAnsi"/>
          <w:sz w:val="22"/>
          <w:szCs w:val="22"/>
          <w:lang w:eastAsia="en-US"/>
        </w:rPr>
        <w:t xml:space="preserve"> doğrudan doldurmanın mümkün olduğu,</w:t>
      </w:r>
    </w:p>
    <w:p w:rsidR="007471EB" w:rsidRPr="007471EB" w:rsidRDefault="007471EB" w:rsidP="007471EB">
      <w:pPr>
        <w:autoSpaceDE w:val="0"/>
        <w:autoSpaceDN w:val="0"/>
        <w:adjustRightInd w:val="0"/>
        <w:rPr>
          <w:rFonts w:eastAsiaTheme="minorHAnsi"/>
          <w:sz w:val="22"/>
          <w:szCs w:val="22"/>
          <w:lang w:eastAsia="en-US"/>
        </w:rPr>
      </w:pPr>
    </w:p>
    <w:p w:rsidR="007471EB" w:rsidRPr="007471EB" w:rsidRDefault="007471EB" w:rsidP="007471EB">
      <w:pPr>
        <w:autoSpaceDE w:val="0"/>
        <w:autoSpaceDN w:val="0"/>
        <w:adjustRightInd w:val="0"/>
        <w:ind w:firstLine="708"/>
        <w:jc w:val="both"/>
        <w:rPr>
          <w:rFonts w:eastAsiaTheme="minorHAnsi"/>
          <w:sz w:val="22"/>
          <w:szCs w:val="22"/>
          <w:lang w:eastAsia="en-US"/>
        </w:rPr>
      </w:pPr>
      <w:r w:rsidRPr="007471EB">
        <w:rPr>
          <w:rFonts w:eastAsiaTheme="minorHAnsi"/>
          <w:sz w:val="22"/>
          <w:szCs w:val="22"/>
          <w:lang w:eastAsia="en-US"/>
        </w:rPr>
        <w:t>- GVB sunarken, Ukrayna’ya ithal edilen veya diğer ülkelere transit olarak taşınan malların nakliyesi hakkında bir ön analiz (Ukrayna gümrük sınırındaki kontrol noktasına varmadan önce) yapılacağı, yeni olan bu uygulamanın amacının mal tedarik zincirinin güvenliğini ve güvenilirliğini organize etmek ve tehlikeli malların Ukrayna’ya giriş risklerini azaltmak olduğu,</w:t>
      </w:r>
    </w:p>
    <w:p w:rsidR="007471EB" w:rsidRPr="007471EB" w:rsidRDefault="007471EB" w:rsidP="007471EB">
      <w:pPr>
        <w:autoSpaceDE w:val="0"/>
        <w:autoSpaceDN w:val="0"/>
        <w:adjustRightInd w:val="0"/>
        <w:rPr>
          <w:rFonts w:eastAsiaTheme="minorHAnsi"/>
          <w:sz w:val="22"/>
          <w:szCs w:val="22"/>
          <w:lang w:eastAsia="en-US"/>
        </w:rPr>
      </w:pPr>
    </w:p>
    <w:p w:rsidR="007471EB" w:rsidRPr="007471EB" w:rsidRDefault="007471EB" w:rsidP="007471EB">
      <w:pPr>
        <w:autoSpaceDE w:val="0"/>
        <w:autoSpaceDN w:val="0"/>
        <w:adjustRightInd w:val="0"/>
        <w:ind w:firstLine="708"/>
        <w:jc w:val="both"/>
        <w:rPr>
          <w:b/>
          <w:bCs/>
          <w:sz w:val="22"/>
          <w:szCs w:val="22"/>
        </w:rPr>
      </w:pPr>
      <w:r w:rsidRPr="007471EB">
        <w:rPr>
          <w:rFonts w:eastAsiaTheme="minorHAnsi"/>
          <w:sz w:val="22"/>
          <w:szCs w:val="22"/>
          <w:lang w:eastAsia="en-US"/>
        </w:rPr>
        <w:t xml:space="preserve">- Hâlihazırda </w:t>
      </w:r>
      <w:proofErr w:type="spellStart"/>
      <w:r w:rsidRPr="007471EB">
        <w:rPr>
          <w:rFonts w:eastAsiaTheme="minorHAnsi"/>
          <w:sz w:val="22"/>
          <w:szCs w:val="22"/>
          <w:lang w:eastAsia="en-US"/>
        </w:rPr>
        <w:t>GVB'nin</w:t>
      </w:r>
      <w:proofErr w:type="spellEnd"/>
      <w:r w:rsidRPr="007471EB">
        <w:rPr>
          <w:rFonts w:eastAsiaTheme="minorHAnsi"/>
          <w:sz w:val="22"/>
          <w:szCs w:val="22"/>
          <w:lang w:eastAsia="en-US"/>
        </w:rPr>
        <w:t xml:space="preserve"> uygulama süreci için gereken hazırlıkların devam ettiği, Ukrayna’nın Tek Devlet Bilgi Web-</w:t>
      </w:r>
      <w:proofErr w:type="spellStart"/>
      <w:r w:rsidRPr="007471EB">
        <w:rPr>
          <w:rFonts w:eastAsiaTheme="minorHAnsi"/>
          <w:sz w:val="22"/>
          <w:szCs w:val="22"/>
          <w:lang w:eastAsia="en-US"/>
        </w:rPr>
        <w:t>Portalında</w:t>
      </w:r>
      <w:proofErr w:type="spellEnd"/>
      <w:r w:rsidRPr="007471EB">
        <w:rPr>
          <w:rFonts w:eastAsiaTheme="minorHAnsi"/>
          <w:sz w:val="22"/>
          <w:szCs w:val="22"/>
          <w:lang w:eastAsia="en-US"/>
        </w:rPr>
        <w:t xml:space="preserve"> "Uluslararası Ticaret için Tek Pencere" isimli Bölümünde </w:t>
      </w:r>
      <w:proofErr w:type="spellStart"/>
      <w:r w:rsidRPr="007471EB">
        <w:rPr>
          <w:rFonts w:eastAsiaTheme="minorHAnsi"/>
          <w:sz w:val="22"/>
          <w:szCs w:val="22"/>
          <w:lang w:eastAsia="en-US"/>
        </w:rPr>
        <w:t>GVB’nin</w:t>
      </w:r>
      <w:proofErr w:type="spellEnd"/>
      <w:r w:rsidRPr="007471EB">
        <w:rPr>
          <w:rFonts w:eastAsiaTheme="minorHAnsi"/>
          <w:sz w:val="22"/>
          <w:szCs w:val="22"/>
          <w:lang w:eastAsia="en-US"/>
        </w:rPr>
        <w:t xml:space="preserve"> </w:t>
      </w:r>
      <w:r w:rsidRPr="007471EB">
        <w:rPr>
          <w:rFonts w:eastAsiaTheme="minorHAnsi"/>
          <w:sz w:val="22"/>
          <w:szCs w:val="22"/>
          <w:lang w:eastAsia="en-US"/>
        </w:rPr>
        <w:lastRenderedPageBreak/>
        <w:t xml:space="preserve">deneme başvurusu yapma imkânının mevcut </w:t>
      </w:r>
      <w:r w:rsidRPr="007471EB">
        <w:rPr>
          <w:sz w:val="22"/>
          <w:szCs w:val="22"/>
        </w:rPr>
        <w:t xml:space="preserve">olduğu, </w:t>
      </w:r>
      <w:proofErr w:type="spellStart"/>
      <w:r w:rsidRPr="007471EB">
        <w:rPr>
          <w:b/>
          <w:bCs/>
          <w:sz w:val="22"/>
          <w:szCs w:val="22"/>
        </w:rPr>
        <w:t>GVB'nin</w:t>
      </w:r>
      <w:proofErr w:type="spellEnd"/>
      <w:r w:rsidRPr="007471EB">
        <w:rPr>
          <w:b/>
          <w:bCs/>
          <w:sz w:val="22"/>
          <w:szCs w:val="22"/>
        </w:rPr>
        <w:t xml:space="preserve"> deneme başvurusunun sadece KEİ (kayıtlı elektronik imza) imzası olan kişiler tarafından yapılabildiği</w:t>
      </w:r>
      <w:r w:rsidR="002F1604">
        <w:rPr>
          <w:b/>
          <w:bCs/>
          <w:sz w:val="22"/>
          <w:szCs w:val="22"/>
        </w:rPr>
        <w:t>,</w:t>
      </w:r>
    </w:p>
    <w:p w:rsidR="007471EB" w:rsidRPr="007471EB" w:rsidRDefault="007471EB" w:rsidP="007471EB">
      <w:pPr>
        <w:pStyle w:val="Default"/>
        <w:ind w:firstLine="708"/>
        <w:jc w:val="both"/>
        <w:rPr>
          <w:b/>
          <w:bCs/>
          <w:sz w:val="22"/>
          <w:szCs w:val="22"/>
        </w:rPr>
      </w:pPr>
    </w:p>
    <w:p w:rsidR="007471EB" w:rsidRPr="007471EB" w:rsidRDefault="002F1604" w:rsidP="002F1604">
      <w:pPr>
        <w:autoSpaceDE w:val="0"/>
        <w:autoSpaceDN w:val="0"/>
        <w:adjustRightInd w:val="0"/>
        <w:ind w:firstLine="851"/>
        <w:jc w:val="both"/>
        <w:rPr>
          <w:rFonts w:eastAsiaTheme="minorHAnsi"/>
          <w:sz w:val="22"/>
          <w:szCs w:val="22"/>
          <w:lang w:eastAsia="en-US"/>
        </w:rPr>
      </w:pPr>
      <w:r>
        <w:rPr>
          <w:rFonts w:eastAsiaTheme="minorHAnsi"/>
          <w:sz w:val="22"/>
          <w:szCs w:val="22"/>
          <w:lang w:eastAsia="en-US"/>
        </w:rPr>
        <w:t xml:space="preserve">Öte yandan, </w:t>
      </w:r>
      <w:r w:rsidR="007471EB" w:rsidRPr="007471EB">
        <w:rPr>
          <w:rFonts w:eastAsiaTheme="minorHAnsi"/>
          <w:sz w:val="22"/>
          <w:szCs w:val="22"/>
          <w:lang w:eastAsia="en-US"/>
        </w:rPr>
        <w:t xml:space="preserve"> Genel Varış Beyannames</w:t>
      </w:r>
      <w:r>
        <w:rPr>
          <w:rFonts w:eastAsiaTheme="minorHAnsi"/>
          <w:sz w:val="22"/>
          <w:szCs w:val="22"/>
          <w:lang w:eastAsia="en-US"/>
        </w:rPr>
        <w:t xml:space="preserve">inin aşağıdaki malların getirilmesinde uygulanmayacağı hususlarının yer aldığı ifade edilmektedir. </w:t>
      </w:r>
    </w:p>
    <w:p w:rsidR="007471EB" w:rsidRPr="007471EB" w:rsidRDefault="007471EB" w:rsidP="007471EB">
      <w:pPr>
        <w:autoSpaceDE w:val="0"/>
        <w:autoSpaceDN w:val="0"/>
        <w:adjustRightInd w:val="0"/>
        <w:rPr>
          <w:rFonts w:eastAsiaTheme="minorHAnsi"/>
          <w:sz w:val="22"/>
          <w:szCs w:val="22"/>
          <w:lang w:eastAsia="en-US"/>
        </w:rPr>
      </w:pPr>
    </w:p>
    <w:p w:rsidR="007471EB" w:rsidRPr="007471EB" w:rsidRDefault="007471EB" w:rsidP="006B0F37">
      <w:pPr>
        <w:autoSpaceDE w:val="0"/>
        <w:autoSpaceDN w:val="0"/>
        <w:adjustRightInd w:val="0"/>
        <w:ind w:left="708" w:firstLine="708"/>
        <w:rPr>
          <w:rFonts w:eastAsiaTheme="minorHAnsi"/>
          <w:sz w:val="22"/>
          <w:szCs w:val="22"/>
          <w:lang w:eastAsia="en-US"/>
        </w:rPr>
      </w:pPr>
      <w:r w:rsidRPr="007471EB">
        <w:rPr>
          <w:rFonts w:eastAsiaTheme="minorHAnsi"/>
          <w:sz w:val="22"/>
          <w:szCs w:val="22"/>
          <w:lang w:eastAsia="en-US"/>
        </w:rPr>
        <w:t xml:space="preserve">-Ukrayna sınırlarını geçerken, limanlarda veya havaalanlarında duraklamayan deniz, nehir </w:t>
      </w:r>
      <w:proofErr w:type="gramStart"/>
      <w:r w:rsidRPr="007471EB">
        <w:rPr>
          <w:rFonts w:eastAsiaTheme="minorHAnsi"/>
          <w:sz w:val="22"/>
          <w:szCs w:val="22"/>
          <w:lang w:eastAsia="en-US"/>
        </w:rPr>
        <w:t>ve  hava</w:t>
      </w:r>
      <w:proofErr w:type="gramEnd"/>
      <w:r w:rsidRPr="007471EB">
        <w:rPr>
          <w:rFonts w:eastAsiaTheme="minorHAnsi"/>
          <w:sz w:val="22"/>
          <w:szCs w:val="22"/>
          <w:lang w:eastAsia="en-US"/>
        </w:rPr>
        <w:t xml:space="preserve"> yollarıyla taşınan mallar,</w:t>
      </w:r>
    </w:p>
    <w:p w:rsidR="007471EB" w:rsidRPr="007471EB" w:rsidRDefault="007471EB" w:rsidP="006B0F37">
      <w:pPr>
        <w:autoSpaceDE w:val="0"/>
        <w:autoSpaceDN w:val="0"/>
        <w:adjustRightInd w:val="0"/>
        <w:ind w:left="708" w:firstLine="708"/>
        <w:jc w:val="both"/>
        <w:rPr>
          <w:rFonts w:eastAsiaTheme="minorHAnsi"/>
          <w:sz w:val="22"/>
          <w:szCs w:val="22"/>
          <w:lang w:eastAsia="en-US"/>
        </w:rPr>
      </w:pPr>
      <w:r w:rsidRPr="007471EB">
        <w:rPr>
          <w:rFonts w:eastAsiaTheme="minorHAnsi"/>
          <w:sz w:val="22"/>
          <w:szCs w:val="22"/>
          <w:lang w:eastAsia="en-US"/>
        </w:rPr>
        <w:t xml:space="preserve">-Boru hattı ve elektrik hatları ile taşınan mallar,  mektuplar, kartpostallar ve </w:t>
      </w:r>
      <w:proofErr w:type="spellStart"/>
      <w:r w:rsidRPr="007471EB">
        <w:rPr>
          <w:rFonts w:eastAsiaTheme="minorHAnsi"/>
          <w:sz w:val="22"/>
          <w:szCs w:val="22"/>
          <w:lang w:eastAsia="en-US"/>
        </w:rPr>
        <w:t>sekogramlar</w:t>
      </w:r>
      <w:proofErr w:type="spellEnd"/>
      <w:r w:rsidRPr="007471EB">
        <w:rPr>
          <w:rFonts w:eastAsiaTheme="minorHAnsi"/>
          <w:sz w:val="22"/>
          <w:szCs w:val="22"/>
          <w:lang w:eastAsia="en-US"/>
        </w:rPr>
        <w:t xml:space="preserve"> (körler alfabesiyle yazılan posta bildirimleri),</w:t>
      </w:r>
    </w:p>
    <w:p w:rsidR="007471EB" w:rsidRPr="007471EB" w:rsidRDefault="007471EB" w:rsidP="006B0F37">
      <w:pPr>
        <w:autoSpaceDE w:val="0"/>
        <w:autoSpaceDN w:val="0"/>
        <w:adjustRightInd w:val="0"/>
        <w:ind w:left="708" w:firstLine="708"/>
        <w:rPr>
          <w:rFonts w:eastAsiaTheme="minorHAnsi"/>
          <w:sz w:val="22"/>
          <w:szCs w:val="22"/>
          <w:lang w:eastAsia="en-US"/>
        </w:rPr>
      </w:pPr>
      <w:r w:rsidRPr="007471EB">
        <w:rPr>
          <w:rFonts w:eastAsiaTheme="minorHAnsi"/>
          <w:sz w:val="22"/>
          <w:szCs w:val="22"/>
          <w:lang w:eastAsia="en-US"/>
        </w:rPr>
        <w:t>-Dünya Posta Birliği kurallarına uygun olarak taşınan mallar;</w:t>
      </w:r>
    </w:p>
    <w:p w:rsidR="006B0F37" w:rsidRDefault="007471EB" w:rsidP="006B0F37">
      <w:pPr>
        <w:autoSpaceDE w:val="0"/>
        <w:autoSpaceDN w:val="0"/>
        <w:adjustRightInd w:val="0"/>
        <w:ind w:left="708" w:firstLine="708"/>
        <w:jc w:val="both"/>
        <w:rPr>
          <w:rFonts w:eastAsiaTheme="minorHAnsi"/>
          <w:sz w:val="22"/>
          <w:szCs w:val="22"/>
          <w:lang w:eastAsia="en-US"/>
        </w:rPr>
      </w:pPr>
      <w:r w:rsidRPr="007471EB">
        <w:rPr>
          <w:rFonts w:eastAsiaTheme="minorHAnsi"/>
          <w:sz w:val="22"/>
          <w:szCs w:val="22"/>
          <w:lang w:eastAsia="en-US"/>
        </w:rPr>
        <w:t xml:space="preserve">-Ukrayna Gümrük Kanunu’nun 252. maddesinde belirtilen askeri teçhizat ve diğer mallar, </w:t>
      </w:r>
    </w:p>
    <w:p w:rsidR="007471EB" w:rsidRPr="007471EB" w:rsidRDefault="006B0F37" w:rsidP="006B0F37">
      <w:pPr>
        <w:autoSpaceDE w:val="0"/>
        <w:autoSpaceDN w:val="0"/>
        <w:adjustRightInd w:val="0"/>
        <w:ind w:left="708" w:firstLine="708"/>
        <w:jc w:val="both"/>
        <w:rPr>
          <w:rFonts w:eastAsiaTheme="minorHAnsi"/>
          <w:sz w:val="22"/>
          <w:szCs w:val="22"/>
          <w:lang w:eastAsia="en-US"/>
        </w:rPr>
      </w:pPr>
      <w:r>
        <w:rPr>
          <w:rFonts w:eastAsiaTheme="minorHAnsi"/>
          <w:sz w:val="22"/>
          <w:szCs w:val="22"/>
          <w:lang w:eastAsia="en-US"/>
        </w:rPr>
        <w:t>-</w:t>
      </w:r>
      <w:r w:rsidR="007471EB" w:rsidRPr="007471EB">
        <w:rPr>
          <w:rFonts w:eastAsiaTheme="minorHAnsi"/>
          <w:sz w:val="22"/>
          <w:szCs w:val="22"/>
          <w:lang w:eastAsia="en-US"/>
        </w:rPr>
        <w:t>Ukrayna Gümrük Kanun’un 383. – 386</w:t>
      </w:r>
      <w:proofErr w:type="gramStart"/>
      <w:r w:rsidR="007471EB" w:rsidRPr="007471EB">
        <w:rPr>
          <w:rFonts w:eastAsiaTheme="minorHAnsi"/>
          <w:sz w:val="22"/>
          <w:szCs w:val="22"/>
          <w:lang w:eastAsia="en-US"/>
        </w:rPr>
        <w:t>.,</w:t>
      </w:r>
      <w:proofErr w:type="gramEnd"/>
      <w:r w:rsidR="007471EB" w:rsidRPr="007471EB">
        <w:rPr>
          <w:rFonts w:eastAsiaTheme="minorHAnsi"/>
          <w:sz w:val="22"/>
          <w:szCs w:val="22"/>
          <w:lang w:eastAsia="en-US"/>
        </w:rPr>
        <w:t xml:space="preserve"> 388., 389., 391. ve 392. Maddelerinde öngörülen gümrük muafiyetleri olan kişiler tarafından Ukrayna’ya ithal edilen mallar,</w:t>
      </w:r>
    </w:p>
    <w:p w:rsidR="007471EB" w:rsidRPr="007471EB" w:rsidRDefault="007471EB" w:rsidP="006B0F37">
      <w:pPr>
        <w:autoSpaceDE w:val="0"/>
        <w:autoSpaceDN w:val="0"/>
        <w:adjustRightInd w:val="0"/>
        <w:ind w:left="708" w:firstLine="708"/>
        <w:rPr>
          <w:rFonts w:eastAsiaTheme="minorHAnsi"/>
          <w:sz w:val="22"/>
          <w:szCs w:val="22"/>
          <w:lang w:eastAsia="en-US"/>
        </w:rPr>
      </w:pPr>
      <w:r w:rsidRPr="007471EB">
        <w:rPr>
          <w:rFonts w:eastAsia="Wingdings-Regular"/>
          <w:sz w:val="22"/>
          <w:szCs w:val="22"/>
          <w:lang w:eastAsia="en-US"/>
        </w:rPr>
        <w:t xml:space="preserve"> -</w:t>
      </w:r>
      <w:r w:rsidRPr="007471EB">
        <w:rPr>
          <w:rFonts w:eastAsiaTheme="minorHAnsi"/>
          <w:sz w:val="22"/>
          <w:szCs w:val="22"/>
          <w:lang w:eastAsia="en-US"/>
        </w:rPr>
        <w:t>ATA karnesi ile taşınan mallar;</w:t>
      </w:r>
    </w:p>
    <w:p w:rsidR="007471EB" w:rsidRPr="007471EB" w:rsidRDefault="007471EB" w:rsidP="006B0F37">
      <w:pPr>
        <w:autoSpaceDE w:val="0"/>
        <w:autoSpaceDN w:val="0"/>
        <w:adjustRightInd w:val="0"/>
        <w:ind w:left="708" w:firstLine="708"/>
        <w:jc w:val="both"/>
        <w:rPr>
          <w:rFonts w:eastAsiaTheme="minorHAnsi"/>
          <w:sz w:val="22"/>
          <w:szCs w:val="22"/>
          <w:lang w:eastAsia="en-US"/>
        </w:rPr>
      </w:pPr>
      <w:r w:rsidRPr="007471EB">
        <w:rPr>
          <w:rFonts w:eastAsiaTheme="minorHAnsi"/>
          <w:sz w:val="22"/>
          <w:szCs w:val="22"/>
          <w:lang w:eastAsia="en-US"/>
        </w:rPr>
        <w:t>-Özel kişiler tarafından kişisel, ailevi ve ticari faaliyetlerle ilgili olmayan diğer ihtiyaçlar için el bagajında veya berberindeki bagajda taşınan mallar,</w:t>
      </w:r>
    </w:p>
    <w:p w:rsidR="007471EB" w:rsidRPr="007471EB" w:rsidRDefault="007471EB" w:rsidP="006B0F37">
      <w:pPr>
        <w:autoSpaceDE w:val="0"/>
        <w:autoSpaceDN w:val="0"/>
        <w:adjustRightInd w:val="0"/>
        <w:ind w:left="708" w:firstLine="708"/>
        <w:rPr>
          <w:rFonts w:eastAsiaTheme="minorHAnsi"/>
          <w:sz w:val="22"/>
          <w:szCs w:val="22"/>
          <w:lang w:eastAsia="en-US"/>
        </w:rPr>
      </w:pPr>
      <w:r w:rsidRPr="007471EB">
        <w:rPr>
          <w:rFonts w:eastAsia="Wingdings-Regular"/>
          <w:sz w:val="22"/>
          <w:szCs w:val="22"/>
          <w:lang w:eastAsia="en-US"/>
        </w:rPr>
        <w:t xml:space="preserve"> -</w:t>
      </w:r>
      <w:r w:rsidRPr="007471EB">
        <w:rPr>
          <w:rFonts w:eastAsiaTheme="minorHAnsi"/>
          <w:sz w:val="22"/>
          <w:szCs w:val="22"/>
          <w:lang w:eastAsia="en-US"/>
        </w:rPr>
        <w:t>Resmi spor müsabakalarına katılanlar tarafından spor amacıyla ithal edilen ürünler,</w:t>
      </w:r>
      <w:r w:rsidR="006B0F37">
        <w:rPr>
          <w:rFonts w:eastAsiaTheme="minorHAnsi"/>
          <w:sz w:val="22"/>
          <w:szCs w:val="22"/>
          <w:lang w:eastAsia="en-US"/>
        </w:rPr>
        <w:tab/>
      </w:r>
      <w:r w:rsidRPr="007471EB">
        <w:rPr>
          <w:rFonts w:eastAsia="Wingdings-Regular"/>
          <w:sz w:val="22"/>
          <w:szCs w:val="22"/>
          <w:lang w:eastAsia="en-US"/>
        </w:rPr>
        <w:t xml:space="preserve">- </w:t>
      </w:r>
      <w:r w:rsidRPr="007471EB">
        <w:rPr>
          <w:rFonts w:eastAsiaTheme="minorHAnsi"/>
          <w:sz w:val="22"/>
          <w:szCs w:val="22"/>
          <w:lang w:eastAsia="en-US"/>
        </w:rPr>
        <w:t>Ukrayna gümrük sınırına varan taşıtlarda bulunan ikmal malzemeleri,</w:t>
      </w:r>
    </w:p>
    <w:p w:rsidR="007471EB" w:rsidRPr="007471EB" w:rsidRDefault="007471EB" w:rsidP="006B0F37">
      <w:pPr>
        <w:autoSpaceDE w:val="0"/>
        <w:autoSpaceDN w:val="0"/>
        <w:adjustRightInd w:val="0"/>
        <w:ind w:left="708" w:firstLine="708"/>
        <w:rPr>
          <w:rFonts w:eastAsiaTheme="minorHAnsi"/>
          <w:sz w:val="22"/>
          <w:szCs w:val="22"/>
          <w:lang w:eastAsia="en-US"/>
        </w:rPr>
      </w:pPr>
      <w:r w:rsidRPr="007471EB">
        <w:rPr>
          <w:rFonts w:eastAsiaTheme="minorHAnsi"/>
          <w:sz w:val="22"/>
          <w:szCs w:val="22"/>
          <w:lang w:eastAsia="en-US"/>
        </w:rPr>
        <w:t>- Kişisel kullanıma mahsus taşıtlar,</w:t>
      </w:r>
    </w:p>
    <w:p w:rsidR="007471EB" w:rsidRPr="007471EB" w:rsidRDefault="007471EB" w:rsidP="006B0F37">
      <w:pPr>
        <w:autoSpaceDE w:val="0"/>
        <w:autoSpaceDN w:val="0"/>
        <w:adjustRightInd w:val="0"/>
        <w:ind w:left="708" w:firstLine="708"/>
        <w:rPr>
          <w:rFonts w:eastAsiaTheme="minorHAnsi"/>
          <w:sz w:val="22"/>
          <w:szCs w:val="22"/>
          <w:lang w:eastAsia="en-US"/>
        </w:rPr>
      </w:pPr>
      <w:r w:rsidRPr="007471EB">
        <w:rPr>
          <w:rFonts w:eastAsia="Wingdings-Regular"/>
          <w:sz w:val="22"/>
          <w:szCs w:val="22"/>
          <w:lang w:eastAsia="en-US"/>
        </w:rPr>
        <w:t xml:space="preserve"> -</w:t>
      </w:r>
      <w:r w:rsidRPr="007471EB">
        <w:rPr>
          <w:rFonts w:eastAsiaTheme="minorHAnsi"/>
          <w:sz w:val="22"/>
          <w:szCs w:val="22"/>
          <w:lang w:eastAsia="en-US"/>
        </w:rPr>
        <w:t>Doğal afetlerin, kazaların, felaketlerin ve salgın hastalıkların sonuçlarıyla mücadele edilmesi için gereken mallar,</w:t>
      </w:r>
    </w:p>
    <w:p w:rsidR="006B0F37" w:rsidRDefault="007471EB" w:rsidP="006B0F37">
      <w:pPr>
        <w:autoSpaceDE w:val="0"/>
        <w:autoSpaceDN w:val="0"/>
        <w:adjustRightInd w:val="0"/>
        <w:ind w:left="708" w:firstLine="708"/>
        <w:rPr>
          <w:rFonts w:eastAsiaTheme="minorHAnsi"/>
          <w:sz w:val="22"/>
          <w:szCs w:val="22"/>
          <w:lang w:eastAsia="en-US"/>
        </w:rPr>
      </w:pPr>
      <w:r w:rsidRPr="007471EB">
        <w:rPr>
          <w:rFonts w:eastAsiaTheme="minorHAnsi"/>
          <w:sz w:val="22"/>
          <w:szCs w:val="22"/>
          <w:lang w:eastAsia="en-US"/>
        </w:rPr>
        <w:t>-Transplantasyon için insan organlar</w:t>
      </w:r>
      <w:r w:rsidR="002F1604">
        <w:rPr>
          <w:rFonts w:eastAsiaTheme="minorHAnsi"/>
          <w:sz w:val="22"/>
          <w:szCs w:val="22"/>
          <w:lang w:eastAsia="en-US"/>
        </w:rPr>
        <w:t>ı ve diğer anatomik malzemeler.</w:t>
      </w:r>
    </w:p>
    <w:p w:rsidR="006B0F37" w:rsidRDefault="006B0F37" w:rsidP="006B0F37">
      <w:pPr>
        <w:autoSpaceDE w:val="0"/>
        <w:autoSpaceDN w:val="0"/>
        <w:adjustRightInd w:val="0"/>
        <w:ind w:firstLine="851"/>
        <w:rPr>
          <w:rFonts w:eastAsiaTheme="minorHAnsi"/>
          <w:color w:val="000000"/>
          <w:sz w:val="22"/>
          <w:szCs w:val="22"/>
          <w:lang w:eastAsia="en-US"/>
        </w:rPr>
      </w:pPr>
    </w:p>
    <w:p w:rsidR="006B0F37" w:rsidRDefault="006B0F37" w:rsidP="006B0F37">
      <w:pPr>
        <w:autoSpaceDE w:val="0"/>
        <w:autoSpaceDN w:val="0"/>
        <w:adjustRightInd w:val="0"/>
        <w:ind w:firstLine="851"/>
        <w:rPr>
          <w:rFonts w:eastAsiaTheme="minorHAnsi"/>
          <w:color w:val="000000"/>
          <w:sz w:val="22"/>
          <w:szCs w:val="22"/>
          <w:lang w:eastAsia="en-US"/>
        </w:rPr>
      </w:pPr>
      <w:r w:rsidRPr="007471EB">
        <w:rPr>
          <w:rFonts w:eastAsiaTheme="minorHAnsi"/>
          <w:color w:val="000000"/>
          <w:sz w:val="22"/>
          <w:szCs w:val="22"/>
          <w:lang w:eastAsia="en-US"/>
        </w:rPr>
        <w:t>Bilgilerinize sunarız.</w:t>
      </w:r>
    </w:p>
    <w:p w:rsidR="006B0F37" w:rsidRPr="007471EB" w:rsidRDefault="006B0F37" w:rsidP="006B0F37">
      <w:pPr>
        <w:autoSpaceDE w:val="0"/>
        <w:autoSpaceDN w:val="0"/>
        <w:adjustRightInd w:val="0"/>
        <w:ind w:firstLine="851"/>
        <w:rPr>
          <w:color w:val="000000"/>
          <w:sz w:val="22"/>
          <w:szCs w:val="22"/>
        </w:rPr>
      </w:pPr>
    </w:p>
    <w:p w:rsidR="006B0F37" w:rsidRPr="007471EB" w:rsidRDefault="006B0F37" w:rsidP="006B0F37">
      <w:pPr>
        <w:tabs>
          <w:tab w:val="left" w:pos="5610"/>
          <w:tab w:val="center" w:pos="6520"/>
        </w:tabs>
        <w:autoSpaceDE w:val="0"/>
        <w:autoSpaceDN w:val="0"/>
        <w:adjustRightInd w:val="0"/>
        <w:ind w:firstLine="5670"/>
        <w:jc w:val="center"/>
        <w:rPr>
          <w:i/>
          <w:iCs/>
          <w:color w:val="000000"/>
          <w:sz w:val="22"/>
          <w:szCs w:val="22"/>
        </w:rPr>
      </w:pPr>
      <w:proofErr w:type="gramStart"/>
      <w:r w:rsidRPr="007471EB">
        <w:rPr>
          <w:i/>
          <w:iCs/>
          <w:color w:val="000000"/>
          <w:sz w:val="22"/>
          <w:szCs w:val="22"/>
        </w:rPr>
        <w:t>e</w:t>
      </w:r>
      <w:proofErr w:type="gramEnd"/>
      <w:r w:rsidRPr="007471EB">
        <w:rPr>
          <w:i/>
          <w:iCs/>
          <w:color w:val="000000"/>
          <w:sz w:val="22"/>
          <w:szCs w:val="22"/>
        </w:rPr>
        <w:t>-imzalıdır</w:t>
      </w:r>
    </w:p>
    <w:p w:rsidR="006B0F37" w:rsidRPr="007471EB" w:rsidRDefault="006B0F37" w:rsidP="006B0F37">
      <w:pPr>
        <w:autoSpaceDE w:val="0"/>
        <w:autoSpaceDN w:val="0"/>
        <w:adjustRightInd w:val="0"/>
        <w:ind w:firstLine="5670"/>
        <w:jc w:val="center"/>
        <w:rPr>
          <w:b/>
          <w:bCs/>
          <w:color w:val="000000"/>
          <w:sz w:val="22"/>
          <w:szCs w:val="22"/>
        </w:rPr>
      </w:pPr>
      <w:r w:rsidRPr="007471EB">
        <w:rPr>
          <w:b/>
          <w:bCs/>
          <w:color w:val="000000"/>
          <w:sz w:val="22"/>
          <w:szCs w:val="22"/>
        </w:rPr>
        <w:t>Sertaç Ş. TORAMANOĞLU</w:t>
      </w:r>
    </w:p>
    <w:p w:rsidR="006B0F37" w:rsidRPr="007471EB" w:rsidRDefault="006B0F37" w:rsidP="006B0F37">
      <w:pPr>
        <w:autoSpaceDE w:val="0"/>
        <w:autoSpaceDN w:val="0"/>
        <w:adjustRightInd w:val="0"/>
        <w:ind w:firstLine="5670"/>
        <w:jc w:val="center"/>
        <w:rPr>
          <w:b/>
          <w:bCs/>
          <w:color w:val="000000"/>
          <w:sz w:val="22"/>
          <w:szCs w:val="22"/>
        </w:rPr>
      </w:pPr>
      <w:r w:rsidRPr="007471EB">
        <w:rPr>
          <w:b/>
          <w:bCs/>
          <w:color w:val="000000"/>
          <w:sz w:val="22"/>
          <w:szCs w:val="22"/>
        </w:rPr>
        <w:t>Genel Sekreter a.</w:t>
      </w:r>
    </w:p>
    <w:p w:rsidR="006B0F37" w:rsidRPr="007471EB" w:rsidRDefault="006B0F37" w:rsidP="006B0F37">
      <w:pPr>
        <w:tabs>
          <w:tab w:val="left" w:pos="6536"/>
        </w:tabs>
        <w:ind w:firstLine="5670"/>
        <w:jc w:val="center"/>
        <w:rPr>
          <w:b/>
          <w:sz w:val="22"/>
          <w:szCs w:val="22"/>
        </w:rPr>
      </w:pPr>
      <w:r w:rsidRPr="007471EB">
        <w:rPr>
          <w:b/>
          <w:sz w:val="22"/>
          <w:szCs w:val="22"/>
        </w:rPr>
        <w:t>Şube Müdürü</w:t>
      </w:r>
    </w:p>
    <w:p w:rsidR="006B0F37" w:rsidRDefault="006B0F37" w:rsidP="006B0F37">
      <w:pPr>
        <w:autoSpaceDE w:val="0"/>
        <w:autoSpaceDN w:val="0"/>
        <w:adjustRightInd w:val="0"/>
        <w:ind w:firstLine="708"/>
        <w:jc w:val="both"/>
        <w:rPr>
          <w:rFonts w:eastAsiaTheme="minorHAnsi"/>
          <w:sz w:val="22"/>
          <w:szCs w:val="22"/>
          <w:lang w:eastAsia="en-US"/>
        </w:rPr>
      </w:pPr>
    </w:p>
    <w:p w:rsidR="006B0F37" w:rsidRPr="007471EB" w:rsidRDefault="006B0F37" w:rsidP="006B0F37">
      <w:pPr>
        <w:rPr>
          <w:b/>
          <w:bCs/>
          <w:sz w:val="22"/>
          <w:szCs w:val="22"/>
        </w:rPr>
      </w:pPr>
      <w:r w:rsidRPr="007471EB">
        <w:rPr>
          <w:b/>
          <w:bCs/>
          <w:sz w:val="22"/>
          <w:szCs w:val="22"/>
        </w:rPr>
        <w:t xml:space="preserve">Ek: </w:t>
      </w:r>
      <w:hyperlink r:id="rId6" w:history="1">
        <w:r w:rsidRPr="007471EB">
          <w:rPr>
            <w:rStyle w:val="Kpr"/>
            <w:bCs/>
            <w:sz w:val="22"/>
            <w:szCs w:val="22"/>
          </w:rPr>
          <w:t>Kararın Aslı ve Tercümesi (4 sayfa)</w:t>
        </w:r>
      </w:hyperlink>
    </w:p>
    <w:p w:rsidR="007471EB" w:rsidRPr="007471EB" w:rsidRDefault="007471EB" w:rsidP="007471EB">
      <w:pPr>
        <w:pStyle w:val="Default"/>
        <w:ind w:firstLine="851"/>
        <w:jc w:val="both"/>
        <w:rPr>
          <w:sz w:val="22"/>
          <w:szCs w:val="22"/>
        </w:rPr>
      </w:pPr>
    </w:p>
    <w:p w:rsidR="007471EB" w:rsidRPr="007471EB" w:rsidRDefault="007471EB" w:rsidP="007471EB">
      <w:pPr>
        <w:tabs>
          <w:tab w:val="left" w:pos="6536"/>
        </w:tabs>
        <w:ind w:firstLine="5670"/>
        <w:jc w:val="center"/>
        <w:rPr>
          <w:b/>
          <w:sz w:val="22"/>
          <w:szCs w:val="22"/>
        </w:rPr>
      </w:pPr>
    </w:p>
    <w:p w:rsidR="007471EB" w:rsidRPr="007471EB" w:rsidRDefault="007471EB" w:rsidP="00C54FAF">
      <w:pPr>
        <w:rPr>
          <w:sz w:val="22"/>
          <w:szCs w:val="22"/>
        </w:rPr>
      </w:pPr>
    </w:p>
    <w:sectPr w:rsidR="007471EB" w:rsidRPr="007471EB"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E3" w:rsidRDefault="000974E3" w:rsidP="00CA0A79">
      <w:r>
        <w:separator/>
      </w:r>
    </w:p>
  </w:endnote>
  <w:endnote w:type="continuationSeparator" w:id="1">
    <w:p w:rsidR="000974E3" w:rsidRDefault="000974E3"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E3" w:rsidRDefault="000974E3" w:rsidP="00CA0A79">
      <w:r>
        <w:separator/>
      </w:r>
    </w:p>
  </w:footnote>
  <w:footnote w:type="continuationSeparator" w:id="1">
    <w:p w:rsidR="000974E3" w:rsidRDefault="000974E3"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hdrShapeDefaults>
    <o:shapedefaults v:ext="edit" spidmax="45057"/>
  </w:hdrShapeDefaults>
  <w:footnotePr>
    <w:footnote w:id="0"/>
    <w:footnote w:id="1"/>
  </w:footnotePr>
  <w:endnotePr>
    <w:endnote w:id="0"/>
    <w:endnote w:id="1"/>
  </w:endnotePr>
  <w:compat/>
  <w:rsids>
    <w:rsidRoot w:val="00CA0A79"/>
    <w:rsid w:val="0006552F"/>
    <w:rsid w:val="00092FD6"/>
    <w:rsid w:val="000974E3"/>
    <w:rsid w:val="000B66C6"/>
    <w:rsid w:val="000C426A"/>
    <w:rsid w:val="000D256E"/>
    <w:rsid w:val="001366EA"/>
    <w:rsid w:val="001447CA"/>
    <w:rsid w:val="001E586C"/>
    <w:rsid w:val="001F4FE1"/>
    <w:rsid w:val="00210E05"/>
    <w:rsid w:val="002A2A5D"/>
    <w:rsid w:val="002B4861"/>
    <w:rsid w:val="002F1604"/>
    <w:rsid w:val="002F4ED5"/>
    <w:rsid w:val="0043655A"/>
    <w:rsid w:val="004619D4"/>
    <w:rsid w:val="004632D6"/>
    <w:rsid w:val="00463AFB"/>
    <w:rsid w:val="00482DC6"/>
    <w:rsid w:val="00563EF8"/>
    <w:rsid w:val="005641F2"/>
    <w:rsid w:val="005A52B1"/>
    <w:rsid w:val="0067476C"/>
    <w:rsid w:val="006B0F37"/>
    <w:rsid w:val="007471EB"/>
    <w:rsid w:val="007A6970"/>
    <w:rsid w:val="007C458C"/>
    <w:rsid w:val="00806421"/>
    <w:rsid w:val="008C08AE"/>
    <w:rsid w:val="00943D04"/>
    <w:rsid w:val="00952A69"/>
    <w:rsid w:val="009D3D9E"/>
    <w:rsid w:val="009E767A"/>
    <w:rsid w:val="00A71D0E"/>
    <w:rsid w:val="00A950A1"/>
    <w:rsid w:val="00AC7168"/>
    <w:rsid w:val="00AF16B6"/>
    <w:rsid w:val="00B20F3F"/>
    <w:rsid w:val="00B472CF"/>
    <w:rsid w:val="00C54FAF"/>
    <w:rsid w:val="00C84A4B"/>
    <w:rsid w:val="00CA0A79"/>
    <w:rsid w:val="00CC54D6"/>
    <w:rsid w:val="00CF6FC9"/>
    <w:rsid w:val="00D431F4"/>
    <w:rsid w:val="00D57206"/>
    <w:rsid w:val="00D6249C"/>
    <w:rsid w:val="00D678DA"/>
    <w:rsid w:val="00DA2F5C"/>
    <w:rsid w:val="00E07C5C"/>
    <w:rsid w:val="00E57DD9"/>
    <w:rsid w:val="00E73E79"/>
    <w:rsid w:val="00E77F41"/>
    <w:rsid w:val="00E80646"/>
    <w:rsid w:val="00EA7214"/>
    <w:rsid w:val="00EC6822"/>
    <w:rsid w:val="00F83335"/>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7471EB"/>
    <w:rPr>
      <w:rFonts w:ascii="Tahoma" w:hAnsi="Tahoma" w:cs="Tahoma"/>
      <w:sz w:val="16"/>
      <w:szCs w:val="16"/>
    </w:rPr>
  </w:style>
  <w:style w:type="character" w:customStyle="1" w:styleId="BalonMetniChar">
    <w:name w:val="Balon Metni Char"/>
    <w:basedOn w:val="VarsaylanParagrafYazTipi"/>
    <w:link w:val="BalonMetni"/>
    <w:uiPriority w:val="99"/>
    <w:semiHidden/>
    <w:rsid w:val="007471EB"/>
    <w:rPr>
      <w:rFonts w:ascii="Tahoma" w:eastAsia="Times New Roman" w:hAnsi="Tahoma" w:cs="Tahoma"/>
      <w:sz w:val="16"/>
      <w:szCs w:val="16"/>
      <w:lang w:eastAsia="tr-TR"/>
    </w:rPr>
  </w:style>
  <w:style w:type="paragraph" w:customStyle="1" w:styleId="Default">
    <w:name w:val="Default"/>
    <w:rsid w:val="007471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559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222D75"/>
    <w:rsid w:val="003438EF"/>
    <w:rsid w:val="00354B9F"/>
    <w:rsid w:val="005202B2"/>
    <w:rsid w:val="005203ED"/>
    <w:rsid w:val="009C7F59"/>
    <w:rsid w:val="00A169FE"/>
    <w:rsid w:val="00B01413"/>
    <w:rsid w:val="00B3768E"/>
    <w:rsid w:val="00BE1283"/>
    <w:rsid w:val="00C6263C"/>
    <w:rsid w:val="00D31D68"/>
    <w:rsid w:val="00DB1816"/>
    <w:rsid w:val="00ED2872"/>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4</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Ukrayna’ya Mal Girişinde Ön Bildirim Zorunluluğu</dc:subject>
  <dc:creator>Kubra Aygun</dc:creator>
  <cp:keywords>10/11/2020</cp:keywords>
  <cp:lastModifiedBy>filiz.yilmaz</cp:lastModifiedBy>
  <cp:revision>2</cp:revision>
  <dcterms:created xsi:type="dcterms:W3CDTF">2020-11-10T10:55:00Z</dcterms:created>
  <dcterms:modified xsi:type="dcterms:W3CDTF">2020-11-10T10:55:00Z</dcterms:modified>
  <cp:category>2020/1785-03909</cp:category>
</cp:coreProperties>
</file>